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69936" w14:textId="77777777" w:rsidR="00AE4B45" w:rsidRPr="00197794" w:rsidRDefault="00AE4B45" w:rsidP="00AE4B45">
      <w:pPr>
        <w:jc w:val="center"/>
        <w:rPr>
          <w:b/>
          <w:bCs/>
          <w:sz w:val="28"/>
          <w:szCs w:val="28"/>
        </w:rPr>
      </w:pPr>
      <w:r w:rsidRPr="00197794">
        <w:rPr>
          <w:b/>
          <w:bCs/>
          <w:sz w:val="28"/>
          <w:szCs w:val="28"/>
        </w:rPr>
        <w:t>RNZRSA Constitution v118: Promised Review</w:t>
      </w:r>
    </w:p>
    <w:p w14:paraId="62A3CE09" w14:textId="77777777" w:rsidR="00223830" w:rsidRDefault="00223830" w:rsidP="00223830">
      <w:pPr>
        <w:rPr>
          <w:b/>
          <w:bCs/>
        </w:rPr>
      </w:pPr>
      <w:r>
        <w:rPr>
          <w:b/>
          <w:bCs/>
        </w:rPr>
        <w:t>Introduction</w:t>
      </w:r>
    </w:p>
    <w:p w14:paraId="6E77BB2B" w14:textId="0EA872A4" w:rsidR="00223830" w:rsidRPr="00223830" w:rsidRDefault="00223830" w:rsidP="00223830">
      <w:r w:rsidRPr="00223830">
        <w:t>As promised we are looking for further feedback on aspects of v118.  Submissions may be made by member organisations or individuals.</w:t>
      </w:r>
    </w:p>
    <w:p w14:paraId="3137CDAA" w14:textId="56DC1250" w:rsidR="00223830" w:rsidRPr="00223830" w:rsidRDefault="00223830" w:rsidP="00223830">
      <w:pPr>
        <w:rPr>
          <w:b/>
          <w:bCs/>
        </w:rPr>
      </w:pPr>
      <w:r w:rsidRPr="00223830">
        <w:rPr>
          <w:b/>
          <w:bCs/>
        </w:rPr>
        <w:t xml:space="preserve">Please </w:t>
      </w:r>
      <w:r>
        <w:rPr>
          <w:b/>
          <w:bCs/>
        </w:rPr>
        <w:t xml:space="preserve">insert your feedback into </w:t>
      </w:r>
      <w:r w:rsidR="008E136F">
        <w:rPr>
          <w:b/>
          <w:bCs/>
        </w:rPr>
        <w:t xml:space="preserve">the </w:t>
      </w:r>
      <w:r w:rsidRPr="00223830">
        <w:rPr>
          <w:b/>
          <w:bCs/>
        </w:rPr>
        <w:t xml:space="preserve">form </w:t>
      </w:r>
      <w:r w:rsidR="008E136F">
        <w:rPr>
          <w:b/>
          <w:bCs/>
        </w:rPr>
        <w:t xml:space="preserve">below </w:t>
      </w:r>
      <w:r w:rsidRPr="00223830">
        <w:rPr>
          <w:b/>
          <w:bCs/>
        </w:rPr>
        <w:t xml:space="preserve">and send it to </w:t>
      </w:r>
      <w:hyperlink r:id="rId7" w:history="1">
        <w:r w:rsidRPr="00AF29A0">
          <w:rPr>
            <w:rStyle w:val="Hyperlink"/>
            <w:b/>
            <w:bCs/>
          </w:rPr>
          <w:t>review@rsa.org.nz</w:t>
        </w:r>
      </w:hyperlink>
      <w:r>
        <w:rPr>
          <w:b/>
          <w:bCs/>
        </w:rPr>
        <w:t xml:space="preserve"> by 30 June 2025. </w:t>
      </w:r>
    </w:p>
    <w:p w14:paraId="17EEBEE1" w14:textId="757F3DD2" w:rsidR="00AE4B45" w:rsidRDefault="00223830" w:rsidP="00223830">
      <w:r>
        <w:t xml:space="preserve">There are </w:t>
      </w:r>
      <w:r w:rsidR="008E136F">
        <w:t xml:space="preserve">four </w:t>
      </w:r>
      <w:r>
        <w:t>areas where we are particularly look</w:t>
      </w:r>
      <w:r w:rsidR="008E136F">
        <w:t>ing</w:t>
      </w:r>
      <w:r>
        <w:t xml:space="preserve"> for your comments. They are:</w:t>
      </w:r>
    </w:p>
    <w:p w14:paraId="2737CAE6" w14:textId="1A343F5F" w:rsidR="00223830" w:rsidRDefault="00B85B68" w:rsidP="00B85B68">
      <w:pPr>
        <w:pStyle w:val="ListParagraph"/>
        <w:numPr>
          <w:ilvl w:val="0"/>
          <w:numId w:val="8"/>
        </w:numPr>
      </w:pPr>
      <w:r>
        <w:t xml:space="preserve">Section </w:t>
      </w:r>
      <w:r w:rsidR="00223830">
        <w:t>3</w:t>
      </w:r>
      <w:r w:rsidR="008E136F">
        <w:t>.</w:t>
      </w:r>
      <w:r w:rsidR="00223830">
        <w:t xml:space="preserve"> Constitutional Principles</w:t>
      </w:r>
    </w:p>
    <w:p w14:paraId="02A5A7B6" w14:textId="4E87BE42" w:rsidR="008E136F" w:rsidRDefault="008E136F" w:rsidP="008E136F">
      <w:pPr>
        <w:pStyle w:val="ListParagraph"/>
        <w:numPr>
          <w:ilvl w:val="0"/>
          <w:numId w:val="8"/>
        </w:numPr>
      </w:pPr>
      <w:r>
        <w:t>Section 4. Objects and Purposes</w:t>
      </w:r>
    </w:p>
    <w:p w14:paraId="2C898A1E" w14:textId="3371CF61" w:rsidR="00B85B68" w:rsidRDefault="00B85B68" w:rsidP="00B85B68">
      <w:pPr>
        <w:pStyle w:val="ListParagraph"/>
        <w:numPr>
          <w:ilvl w:val="0"/>
          <w:numId w:val="8"/>
        </w:numPr>
      </w:pPr>
      <w:r>
        <w:t>Clause 8.30</w:t>
      </w:r>
    </w:p>
    <w:p w14:paraId="5CF230D2" w14:textId="38022DDD" w:rsidR="00B85B68" w:rsidRDefault="00B85B68" w:rsidP="00B85B68">
      <w:pPr>
        <w:pStyle w:val="ListParagraph"/>
        <w:numPr>
          <w:ilvl w:val="0"/>
          <w:numId w:val="8"/>
        </w:numPr>
      </w:pPr>
      <w:r>
        <w:t xml:space="preserve">Clause </w:t>
      </w:r>
      <w:r w:rsidR="002F222F">
        <w:t>1</w:t>
      </w:r>
      <w:r>
        <w:t>8.1</w:t>
      </w:r>
      <w:r w:rsidR="002F222F">
        <w:t>2</w:t>
      </w:r>
    </w:p>
    <w:p w14:paraId="52C0294D" w14:textId="4C9ECE2E" w:rsidR="00B85B68" w:rsidRPr="00B85B68" w:rsidRDefault="00B85B68" w:rsidP="00223830">
      <w:r w:rsidRPr="00B85B68">
        <w:t>Please note we are aware of typos in the Majority Clause and Clause 19.4</w:t>
      </w:r>
      <w:r>
        <w:t xml:space="preserve">.  These are in the process of being corrected. </w:t>
      </w:r>
    </w:p>
    <w:p w14:paraId="5519DD6F" w14:textId="15E8D1AB" w:rsidR="00B85B68" w:rsidRPr="00B85B68" w:rsidRDefault="00B85B68" w:rsidP="00223830">
      <w:r w:rsidRPr="00B85B68">
        <w:t>---------------------------------------------------------------------------------------------------------------</w:t>
      </w:r>
    </w:p>
    <w:p w14:paraId="35250ADB" w14:textId="484A0FCB" w:rsidR="00B85B68" w:rsidRPr="00B85B68" w:rsidRDefault="00B85B68" w:rsidP="00B85B68">
      <w:pPr>
        <w:rPr>
          <w:b/>
          <w:bCs/>
        </w:rPr>
      </w:pPr>
      <w:r>
        <w:rPr>
          <w:b/>
          <w:bCs/>
        </w:rPr>
        <w:t xml:space="preserve">Section </w:t>
      </w:r>
      <w:r w:rsidRPr="00B85B68">
        <w:rPr>
          <w:b/>
          <w:bCs/>
        </w:rPr>
        <w:t xml:space="preserve">3. CONSTITUTIONAL PRINCIPLES </w:t>
      </w:r>
      <w:r w:rsidRPr="00B85B68">
        <w:rPr>
          <w:b/>
          <w:bCs/>
          <w:i/>
          <w:iCs/>
        </w:rPr>
        <w:t>(Taken from RNZRSA constitution v 118)</w:t>
      </w:r>
    </w:p>
    <w:p w14:paraId="691E4DFF" w14:textId="77777777" w:rsidR="00B85B68" w:rsidRPr="00B85B68" w:rsidRDefault="00B85B68" w:rsidP="00197794">
      <w:pPr>
        <w:spacing w:after="0"/>
      </w:pPr>
      <w:r w:rsidRPr="00B85B68">
        <w:t xml:space="preserve">3.1 In pursuance of its Objects and Purposes, RNZRSA seeks to recognise and create a fellowship of: </w:t>
      </w:r>
    </w:p>
    <w:p w14:paraId="4AA312B1" w14:textId="77777777" w:rsidR="00B85B68" w:rsidRPr="00B85B68" w:rsidRDefault="00B85B68" w:rsidP="00197794">
      <w:pPr>
        <w:spacing w:after="0"/>
        <w:ind w:left="720"/>
      </w:pPr>
      <w:r w:rsidRPr="00B85B68">
        <w:t>(a) those Individual Persons who serve or have served as attested members of New Zealand's armed forces (Navy, Army, Air Force, and collectively called the New Zealand Defence Force) (“</w:t>
      </w:r>
      <w:r w:rsidRPr="00B85B68">
        <w:rPr>
          <w:b/>
          <w:bCs/>
        </w:rPr>
        <w:t>New Zealand Veterans</w:t>
      </w:r>
      <w:r w:rsidRPr="00B85B68">
        <w:t xml:space="preserve">”); </w:t>
      </w:r>
    </w:p>
    <w:p w14:paraId="6D10EF15" w14:textId="77777777" w:rsidR="00B85B68" w:rsidRPr="00B85B68" w:rsidRDefault="00B85B68" w:rsidP="00197794">
      <w:pPr>
        <w:spacing w:after="0"/>
        <w:ind w:left="720"/>
      </w:pPr>
      <w:r w:rsidRPr="00B85B68">
        <w:t>(b) those Individual Persons who serve or have served as sworn officers in the New Zealand Police (“</w:t>
      </w:r>
      <w:r w:rsidRPr="00B85B68">
        <w:rPr>
          <w:b/>
          <w:bCs/>
        </w:rPr>
        <w:t>Police Officers</w:t>
      </w:r>
      <w:r w:rsidRPr="00B85B68">
        <w:t xml:space="preserve">”); </w:t>
      </w:r>
    </w:p>
    <w:p w14:paraId="3DB0F037" w14:textId="77777777" w:rsidR="00B85B68" w:rsidRPr="00B85B68" w:rsidRDefault="00B85B68" w:rsidP="00197794">
      <w:pPr>
        <w:spacing w:after="0"/>
        <w:ind w:left="720"/>
      </w:pPr>
      <w:r w:rsidRPr="00B85B68">
        <w:t xml:space="preserve">(c) the Whānau of New Zealand Service Personnel; and </w:t>
      </w:r>
    </w:p>
    <w:p w14:paraId="47FC43EC" w14:textId="77777777" w:rsidR="00B85B68" w:rsidRPr="00B85B68" w:rsidRDefault="00B85B68" w:rsidP="00197794">
      <w:pPr>
        <w:spacing w:after="0"/>
        <w:ind w:left="720"/>
      </w:pPr>
      <w:r w:rsidRPr="00B85B68">
        <w:t>(d) those Individual Persons who serve or have served in recognised armed forces of commonwealth countries or New Zealand’s allies, as set out in the Bylaws (“</w:t>
      </w:r>
      <w:r w:rsidRPr="00B85B68">
        <w:rPr>
          <w:b/>
          <w:bCs/>
        </w:rPr>
        <w:t>Personnel from Other Recognised Militaries</w:t>
      </w:r>
      <w:r w:rsidRPr="00B85B68">
        <w:t xml:space="preserve">”). </w:t>
      </w:r>
    </w:p>
    <w:p w14:paraId="33C69BB0" w14:textId="77777777" w:rsidR="00B85B68" w:rsidRPr="00B85B68" w:rsidRDefault="00B85B68" w:rsidP="00197794">
      <w:pPr>
        <w:spacing w:after="0"/>
      </w:pPr>
      <w:r w:rsidRPr="00B85B68">
        <w:t xml:space="preserve">3.2 In pursuance of its Objects and Purposes, and in addition to clause 3.1, RNZRSA seeks to provide remembrance of, support to, and advocacy for New Zealand Veterans and their Whānau in order to ensure that ongoing recognition of their service is valued by the Legal Persons of New Zealand. </w:t>
      </w:r>
    </w:p>
    <w:p w14:paraId="654F7871" w14:textId="77777777" w:rsidR="00B85B68" w:rsidRPr="00B85B68" w:rsidRDefault="00B85B68" w:rsidP="00197794">
      <w:pPr>
        <w:spacing w:after="0"/>
      </w:pPr>
      <w:r w:rsidRPr="00B85B68">
        <w:t xml:space="preserve">3.3 As part of giving effect to the Objects and Purposes set out in this Constitution, each Member commits to: </w:t>
      </w:r>
    </w:p>
    <w:p w14:paraId="34CC6829" w14:textId="77777777" w:rsidR="00B85B68" w:rsidRPr="00B85B68" w:rsidRDefault="00B85B68" w:rsidP="00197794">
      <w:pPr>
        <w:spacing w:after="0"/>
      </w:pPr>
      <w:r w:rsidRPr="00B85B68">
        <w:t xml:space="preserve">(a) a shared vision of the Objects and Purposes of RNZRSA; </w:t>
      </w:r>
    </w:p>
    <w:p w14:paraId="20C4AFF5" w14:textId="77777777" w:rsidR="00B85B68" w:rsidRPr="00B85B68" w:rsidRDefault="00B85B68" w:rsidP="00197794">
      <w:pPr>
        <w:spacing w:after="0"/>
        <w:ind w:left="720"/>
      </w:pPr>
      <w:r w:rsidRPr="00B85B68">
        <w:t xml:space="preserve">(b) working constructively with other Members and RNZRSA to pursue the Objects and Purposes; </w:t>
      </w:r>
    </w:p>
    <w:p w14:paraId="349F1349" w14:textId="77777777" w:rsidR="00B85B68" w:rsidRPr="00B85B68" w:rsidRDefault="00B85B68" w:rsidP="00197794">
      <w:pPr>
        <w:spacing w:after="0"/>
        <w:ind w:left="720"/>
      </w:pPr>
      <w:r w:rsidRPr="00B85B68">
        <w:t xml:space="preserve">(c) treating each other and RNZRSA with courtesy, mutual respect and tolerance at all times; </w:t>
      </w:r>
    </w:p>
    <w:p w14:paraId="55B3A3B8" w14:textId="77777777" w:rsidR="00B85B68" w:rsidRPr="00B85B68" w:rsidRDefault="00B85B68" w:rsidP="00197794">
      <w:pPr>
        <w:spacing w:after="0"/>
        <w:ind w:left="720"/>
      </w:pPr>
      <w:r w:rsidRPr="00B85B68">
        <w:t xml:space="preserve">(d) demonstrating acceptance of diversity, sensitivity for the customs, practices, culture and personal beliefs of others; </w:t>
      </w:r>
    </w:p>
    <w:p w14:paraId="679CBFA1" w14:textId="77777777" w:rsidR="00B85B68" w:rsidRPr="00B85B68" w:rsidRDefault="00B85B68" w:rsidP="00197794">
      <w:pPr>
        <w:spacing w:after="0"/>
        <w:ind w:left="720"/>
      </w:pPr>
      <w:r w:rsidRPr="00B85B68">
        <w:lastRenderedPageBreak/>
        <w:t xml:space="preserve">(e) supporting human rights and dignity including equality of opportunity; and </w:t>
      </w:r>
    </w:p>
    <w:p w14:paraId="03707203" w14:textId="77777777" w:rsidR="00B85B68" w:rsidRPr="00B85B68" w:rsidRDefault="00B85B68" w:rsidP="00197794">
      <w:pPr>
        <w:spacing w:after="0"/>
        <w:ind w:left="720"/>
      </w:pPr>
      <w:r w:rsidRPr="00B85B68">
        <w:t xml:space="preserve">(f) personal integrity and honesty in all matters involving RNZRSA, its Members and third parties. </w:t>
      </w:r>
    </w:p>
    <w:p w14:paraId="0BD28D7F" w14:textId="77777777" w:rsidR="00B85B68" w:rsidRDefault="00B85B68" w:rsidP="00197794">
      <w:pPr>
        <w:spacing w:after="0"/>
      </w:pPr>
      <w:r w:rsidRPr="00B85B68">
        <w:t xml:space="preserve">3.4 RNZRSA shall remain politically neutral and non-sectarian, in that it shall neither endorse nor oppose any candidate or organisation seeking election to public office of any kind. </w:t>
      </w:r>
    </w:p>
    <w:p w14:paraId="0D007089" w14:textId="5299F396" w:rsidR="00B85B68" w:rsidRDefault="00B85B68" w:rsidP="00B85B68">
      <w:pPr>
        <w:rPr>
          <w:b/>
          <w:bCs/>
          <w:color w:val="215E99" w:themeColor="text2" w:themeTint="BF"/>
        </w:rPr>
      </w:pPr>
      <w:r w:rsidRPr="00660F3F">
        <w:rPr>
          <w:b/>
          <w:bCs/>
          <w:color w:val="215E99" w:themeColor="text2" w:themeTint="BF"/>
        </w:rPr>
        <w:t xml:space="preserve">Write </w:t>
      </w:r>
      <w:r>
        <w:rPr>
          <w:b/>
          <w:bCs/>
          <w:color w:val="215E99" w:themeColor="text2" w:themeTint="BF"/>
        </w:rPr>
        <w:t xml:space="preserve">recommendations </w:t>
      </w:r>
      <w:r w:rsidRPr="00660F3F">
        <w:rPr>
          <w:b/>
          <w:bCs/>
          <w:color w:val="215E99" w:themeColor="text2" w:themeTint="BF"/>
        </w:rPr>
        <w:t>here:</w:t>
      </w:r>
    </w:p>
    <w:p w14:paraId="2A54A9BD" w14:textId="77777777" w:rsidR="00B85B68" w:rsidRDefault="00B85B68" w:rsidP="00B85B68"/>
    <w:p w14:paraId="090956E3" w14:textId="77777777" w:rsidR="00B85B68" w:rsidRDefault="00B85B68" w:rsidP="00B85B68"/>
    <w:p w14:paraId="732436BD" w14:textId="77777777" w:rsidR="00197794" w:rsidRDefault="00197794" w:rsidP="00B85B68"/>
    <w:p w14:paraId="6BE054FE" w14:textId="77777777" w:rsidR="00197794" w:rsidRDefault="00197794" w:rsidP="00B85B68"/>
    <w:p w14:paraId="2E1DDAE2" w14:textId="77777777" w:rsidR="00197794" w:rsidRDefault="00197794" w:rsidP="00B85B68"/>
    <w:p w14:paraId="79438BBF" w14:textId="77777777" w:rsidR="00197794" w:rsidRDefault="00197794" w:rsidP="00B85B68"/>
    <w:p w14:paraId="41EDCF59" w14:textId="77777777" w:rsidR="00197794" w:rsidRDefault="00197794" w:rsidP="00B85B68"/>
    <w:p w14:paraId="6FF49D68" w14:textId="77777777" w:rsidR="00197794" w:rsidRDefault="00197794" w:rsidP="00B85B68"/>
    <w:p w14:paraId="106838C3" w14:textId="77777777" w:rsidR="00B85B68" w:rsidRDefault="00B85B68" w:rsidP="00B85B68"/>
    <w:p w14:paraId="4DFAA3ED" w14:textId="77777777" w:rsidR="00B85B68" w:rsidRPr="00B85B68" w:rsidRDefault="00B85B68" w:rsidP="00B85B68"/>
    <w:p w14:paraId="2F619B0C" w14:textId="4737639E" w:rsidR="00AE4B45" w:rsidRDefault="00AE4B45" w:rsidP="00AE4B45">
      <w:r>
        <w:t>----------------------------------------------------------------------------------------------</w:t>
      </w:r>
    </w:p>
    <w:p w14:paraId="2523AA26" w14:textId="4560BB3E" w:rsidR="00660F3F" w:rsidRPr="00B85B68" w:rsidRDefault="00B85B68" w:rsidP="00660F3F">
      <w:pPr>
        <w:rPr>
          <w:b/>
          <w:bCs/>
          <w:i/>
          <w:iCs/>
        </w:rPr>
      </w:pPr>
      <w:r w:rsidRPr="00B85B68">
        <w:rPr>
          <w:b/>
          <w:bCs/>
        </w:rPr>
        <w:t xml:space="preserve">Section </w:t>
      </w:r>
      <w:r w:rsidR="00660F3F" w:rsidRPr="00B85B68">
        <w:rPr>
          <w:b/>
          <w:bCs/>
        </w:rPr>
        <w:t>4.</w:t>
      </w:r>
      <w:r w:rsidR="00660F3F" w:rsidRPr="00B85B68">
        <w:rPr>
          <w:b/>
          <w:bCs/>
        </w:rPr>
        <w:tab/>
        <w:t xml:space="preserve">OBJECTS AND PURPOSES </w:t>
      </w:r>
      <w:r w:rsidR="00660F3F" w:rsidRPr="00B85B68">
        <w:rPr>
          <w:b/>
          <w:bCs/>
          <w:i/>
          <w:iCs/>
        </w:rPr>
        <w:t>(Taken from RNZRSA constitution v 118)</w:t>
      </w:r>
    </w:p>
    <w:p w14:paraId="64434C11" w14:textId="77777777" w:rsidR="00660F3F" w:rsidRDefault="00660F3F" w:rsidP="00660F3F">
      <w:pPr>
        <w:pStyle w:val="ListParagraph"/>
      </w:pPr>
      <w:r>
        <w:t>4.1</w:t>
      </w:r>
      <w:r>
        <w:tab/>
        <w:t xml:space="preserve">The Objects and Purposes of RNZRSA are: </w:t>
      </w:r>
    </w:p>
    <w:p w14:paraId="04CA2755" w14:textId="77777777" w:rsidR="00660F3F" w:rsidRDefault="00660F3F" w:rsidP="00660F3F">
      <w:pPr>
        <w:pStyle w:val="ListParagraph"/>
        <w:ind w:left="2160" w:hanging="720"/>
      </w:pPr>
      <w:r>
        <w:t>(a)</w:t>
      </w:r>
      <w:r>
        <w:tab/>
        <w:t xml:space="preserve">to support and advocate for those who are serving or have served in the New Zealand Defence Force at home and abroad and actively assist them in their transition to civilian life, especially if they are detrimentally affected by their service; </w:t>
      </w:r>
    </w:p>
    <w:p w14:paraId="5A53A4B8" w14:textId="77777777" w:rsidR="00660F3F" w:rsidRDefault="00660F3F" w:rsidP="00660F3F">
      <w:pPr>
        <w:pStyle w:val="ListParagraph"/>
        <w:ind w:left="2160" w:hanging="720"/>
      </w:pPr>
      <w:r>
        <w:t>(b)</w:t>
      </w:r>
      <w:r>
        <w:tab/>
        <w:t xml:space="preserve">to provide for New Zealand Veterans suffering hardship or poverty, the advancement of education of New Zealand Veterans or any other matter beneficial to New Zealand Veterans; </w:t>
      </w:r>
    </w:p>
    <w:p w14:paraId="55E31390" w14:textId="77777777" w:rsidR="00660F3F" w:rsidRDefault="00660F3F" w:rsidP="00660F3F">
      <w:pPr>
        <w:pStyle w:val="ListParagraph"/>
        <w:ind w:left="2160" w:hanging="720"/>
      </w:pPr>
      <w:r>
        <w:t>(c)</w:t>
      </w:r>
      <w:r>
        <w:tab/>
        <w:t>to loyally uphold the sovereignty of New Zealand as a member of the Commonwealth of Nations and as a member of the United Nations;</w:t>
      </w:r>
    </w:p>
    <w:p w14:paraId="03726AA9" w14:textId="77777777" w:rsidR="00660F3F" w:rsidRDefault="00660F3F" w:rsidP="00660F3F">
      <w:pPr>
        <w:pStyle w:val="ListParagraph"/>
        <w:ind w:left="2160" w:hanging="720"/>
      </w:pPr>
      <w:r>
        <w:lastRenderedPageBreak/>
        <w:t>(d)</w:t>
      </w:r>
      <w:r>
        <w:tab/>
        <w:t>to foster and maintain the welfare and security in New Zealand within the concept of the establishment and maintenance of international peace with honour;</w:t>
      </w:r>
    </w:p>
    <w:p w14:paraId="577285B9" w14:textId="77777777" w:rsidR="00660F3F" w:rsidRDefault="00660F3F" w:rsidP="00660F3F">
      <w:pPr>
        <w:pStyle w:val="ListParagraph"/>
        <w:ind w:left="2160" w:hanging="720"/>
      </w:pPr>
      <w:r>
        <w:t>(e)</w:t>
      </w:r>
      <w:r>
        <w:tab/>
        <w:t>to perpetuate the comradeship born of military service to New Zealand and to promote the general welfare of those who serve or have served New Zealand, and their families;</w:t>
      </w:r>
    </w:p>
    <w:p w14:paraId="5F80EA1D" w14:textId="77777777" w:rsidR="00660F3F" w:rsidRDefault="00660F3F" w:rsidP="00660F3F">
      <w:pPr>
        <w:pStyle w:val="ListParagraph"/>
        <w:ind w:left="1440"/>
      </w:pPr>
      <w:r>
        <w:t>(f)</w:t>
      </w:r>
      <w:r>
        <w:tab/>
        <w:t>to foster the Anzac spirit of courage, commitment, comradeship and compassion;</w:t>
      </w:r>
    </w:p>
    <w:p w14:paraId="6FA2478E" w14:textId="77777777" w:rsidR="00660F3F" w:rsidRDefault="00660F3F" w:rsidP="00660F3F">
      <w:pPr>
        <w:pStyle w:val="ListParagraph"/>
        <w:ind w:left="3600" w:hanging="720"/>
      </w:pPr>
      <w:r>
        <w:t>(i)</w:t>
      </w:r>
      <w:r>
        <w:tab/>
        <w:t xml:space="preserve">by acting as guardians of remembrance including leading the community in preserving the memory of those who served, particularly those who lost their lives; and </w:t>
      </w:r>
    </w:p>
    <w:p w14:paraId="3F9FF771" w14:textId="77777777" w:rsidR="00660F3F" w:rsidRDefault="00660F3F" w:rsidP="008E136F">
      <w:pPr>
        <w:pStyle w:val="ListParagraph"/>
        <w:ind w:left="3598" w:hanging="718"/>
      </w:pPr>
      <w:r>
        <w:t>(ii)</w:t>
      </w:r>
      <w:r>
        <w:tab/>
        <w:t>by keeping the Spirit of Anzac alive through continuing to develop its meaning and relevance for today's world.</w:t>
      </w:r>
    </w:p>
    <w:p w14:paraId="76E47068" w14:textId="77777777" w:rsidR="00660F3F" w:rsidRDefault="00660F3F" w:rsidP="00660F3F">
      <w:pPr>
        <w:pStyle w:val="ListParagraph"/>
        <w:ind w:left="3600" w:hanging="720"/>
      </w:pPr>
      <w:r>
        <w:t>(g)</w:t>
      </w:r>
      <w:r>
        <w:tab/>
        <w:t>to foster remembrance of the service undertaken by New Zealand Veterans and New Zealand Service Personnel;</w:t>
      </w:r>
    </w:p>
    <w:p w14:paraId="34B93520" w14:textId="77777777" w:rsidR="00660F3F" w:rsidRDefault="00660F3F" w:rsidP="00660F3F">
      <w:pPr>
        <w:pStyle w:val="ListParagraph"/>
        <w:ind w:left="3600" w:hanging="720"/>
      </w:pPr>
      <w:r>
        <w:t>(h)</w:t>
      </w:r>
      <w:r>
        <w:tab/>
        <w:t xml:space="preserve">to cultivate a sense of responsibility within members of the RNZRSA community towards fellow citizens, the local community, and for the well-being of Individual Persons; and </w:t>
      </w:r>
    </w:p>
    <w:p w14:paraId="4037E378" w14:textId="77777777" w:rsidR="00660F3F" w:rsidRDefault="00660F3F" w:rsidP="00660F3F">
      <w:pPr>
        <w:pStyle w:val="ListParagraph"/>
        <w:ind w:left="3600" w:hanging="720"/>
      </w:pPr>
      <w:r>
        <w:t>(i)</w:t>
      </w:r>
      <w:r>
        <w:tab/>
        <w:t>to promote the defence of New Zealand, and guard the good name, interests and standing of serving members of the New Zealand Defence Force.</w:t>
      </w:r>
    </w:p>
    <w:p w14:paraId="228E1C0F" w14:textId="44880896" w:rsidR="00660F3F" w:rsidRDefault="00660F3F" w:rsidP="00660F3F">
      <w:pPr>
        <w:rPr>
          <w:b/>
          <w:bCs/>
          <w:color w:val="215E99" w:themeColor="text2" w:themeTint="BF"/>
        </w:rPr>
      </w:pPr>
      <w:r w:rsidRPr="00660F3F">
        <w:rPr>
          <w:b/>
          <w:bCs/>
          <w:color w:val="215E99" w:themeColor="text2" w:themeTint="BF"/>
        </w:rPr>
        <w:t xml:space="preserve">Write </w:t>
      </w:r>
      <w:r w:rsidR="00B85B68">
        <w:rPr>
          <w:b/>
          <w:bCs/>
          <w:color w:val="215E99" w:themeColor="text2" w:themeTint="BF"/>
        </w:rPr>
        <w:t>recommendations</w:t>
      </w:r>
      <w:r w:rsidRPr="00660F3F">
        <w:rPr>
          <w:b/>
          <w:bCs/>
          <w:color w:val="215E99" w:themeColor="text2" w:themeTint="BF"/>
        </w:rPr>
        <w:t xml:space="preserve"> here:</w:t>
      </w:r>
    </w:p>
    <w:p w14:paraId="7D09F698" w14:textId="77777777" w:rsidR="00660F3F" w:rsidRDefault="00660F3F" w:rsidP="00660F3F">
      <w:pPr>
        <w:rPr>
          <w:b/>
          <w:bCs/>
          <w:color w:val="215E99" w:themeColor="text2" w:themeTint="BF"/>
        </w:rPr>
      </w:pPr>
    </w:p>
    <w:p w14:paraId="54959A54" w14:textId="77777777" w:rsidR="00660F3F" w:rsidRDefault="00660F3F" w:rsidP="00660F3F">
      <w:pPr>
        <w:rPr>
          <w:b/>
          <w:bCs/>
          <w:color w:val="215E99" w:themeColor="text2" w:themeTint="BF"/>
        </w:rPr>
      </w:pPr>
    </w:p>
    <w:p w14:paraId="2FD79586" w14:textId="77777777" w:rsidR="00197794" w:rsidRDefault="00197794" w:rsidP="00660F3F">
      <w:pPr>
        <w:rPr>
          <w:b/>
          <w:bCs/>
          <w:color w:val="215E99" w:themeColor="text2" w:themeTint="BF"/>
        </w:rPr>
      </w:pPr>
    </w:p>
    <w:p w14:paraId="2BA61539" w14:textId="77777777" w:rsidR="00197794" w:rsidRDefault="00197794" w:rsidP="00660F3F">
      <w:pPr>
        <w:rPr>
          <w:b/>
          <w:bCs/>
          <w:color w:val="215E99" w:themeColor="text2" w:themeTint="BF"/>
        </w:rPr>
      </w:pPr>
    </w:p>
    <w:p w14:paraId="3EA4A40A" w14:textId="77777777" w:rsidR="00197794" w:rsidRDefault="00197794" w:rsidP="00660F3F">
      <w:pPr>
        <w:rPr>
          <w:b/>
          <w:bCs/>
          <w:color w:val="215E99" w:themeColor="text2" w:themeTint="BF"/>
        </w:rPr>
      </w:pPr>
    </w:p>
    <w:p w14:paraId="4F8C99C6" w14:textId="77777777" w:rsidR="00197794" w:rsidRDefault="00197794" w:rsidP="00660F3F">
      <w:pPr>
        <w:rPr>
          <w:b/>
          <w:bCs/>
          <w:color w:val="215E99" w:themeColor="text2" w:themeTint="BF"/>
        </w:rPr>
      </w:pPr>
    </w:p>
    <w:p w14:paraId="5CBC562E" w14:textId="77777777" w:rsidR="00197794" w:rsidRDefault="00197794" w:rsidP="00660F3F">
      <w:pPr>
        <w:rPr>
          <w:b/>
          <w:bCs/>
          <w:color w:val="215E99" w:themeColor="text2" w:themeTint="BF"/>
        </w:rPr>
      </w:pPr>
    </w:p>
    <w:p w14:paraId="7D2B9EEB" w14:textId="77777777" w:rsidR="00197794" w:rsidRDefault="00197794" w:rsidP="00660F3F">
      <w:pPr>
        <w:rPr>
          <w:b/>
          <w:bCs/>
          <w:color w:val="215E99" w:themeColor="text2" w:themeTint="BF"/>
        </w:rPr>
      </w:pPr>
    </w:p>
    <w:p w14:paraId="55118536" w14:textId="2C5FA0C1" w:rsidR="00B85B68" w:rsidRPr="004948B3" w:rsidRDefault="00B85B68" w:rsidP="00660F3F">
      <w:pPr>
        <w:rPr>
          <w:b/>
          <w:bCs/>
        </w:rPr>
      </w:pPr>
      <w:r>
        <w:rPr>
          <w:b/>
          <w:bCs/>
        </w:rPr>
        <w:t>Clauses for your recommendations</w:t>
      </w:r>
    </w:p>
    <w:tbl>
      <w:tblPr>
        <w:tblStyle w:val="TableGrid"/>
        <w:tblW w:w="0" w:type="auto"/>
        <w:tblLook w:val="0600" w:firstRow="0" w:lastRow="0" w:firstColumn="0" w:lastColumn="0" w:noHBand="1" w:noVBand="1"/>
      </w:tblPr>
      <w:tblGrid>
        <w:gridCol w:w="938"/>
        <w:gridCol w:w="2897"/>
        <w:gridCol w:w="4911"/>
        <w:gridCol w:w="5202"/>
      </w:tblGrid>
      <w:tr w:rsidR="00934794" w14:paraId="1AE13A86" w14:textId="77777777" w:rsidTr="000578F7">
        <w:trPr>
          <w:tblHeader/>
        </w:trPr>
        <w:tc>
          <w:tcPr>
            <w:tcW w:w="938" w:type="dxa"/>
            <w:shd w:val="clear" w:color="auto" w:fill="D9D9D9" w:themeFill="background1" w:themeFillShade="D9"/>
          </w:tcPr>
          <w:p w14:paraId="66D3741E" w14:textId="08B51174" w:rsidR="00934794" w:rsidRDefault="00934794" w:rsidP="00660F3F">
            <w:pPr>
              <w:rPr>
                <w:b/>
                <w:bCs/>
                <w:color w:val="215E99" w:themeColor="text2" w:themeTint="BF"/>
              </w:rPr>
            </w:pPr>
            <w:r>
              <w:rPr>
                <w:b/>
                <w:bCs/>
                <w:color w:val="215E99" w:themeColor="text2" w:themeTint="BF"/>
              </w:rPr>
              <w:lastRenderedPageBreak/>
              <w:t>Clause</w:t>
            </w:r>
          </w:p>
        </w:tc>
        <w:tc>
          <w:tcPr>
            <w:tcW w:w="2897" w:type="dxa"/>
            <w:shd w:val="clear" w:color="auto" w:fill="D9D9D9" w:themeFill="background1" w:themeFillShade="D9"/>
          </w:tcPr>
          <w:p w14:paraId="591A9ED4" w14:textId="41209A52" w:rsidR="00934794" w:rsidRDefault="00934794" w:rsidP="00660F3F">
            <w:pPr>
              <w:rPr>
                <w:b/>
                <w:bCs/>
                <w:color w:val="215E99" w:themeColor="text2" w:themeTint="BF"/>
              </w:rPr>
            </w:pPr>
            <w:r>
              <w:rPr>
                <w:b/>
                <w:bCs/>
                <w:color w:val="215E99" w:themeColor="text2" w:themeTint="BF"/>
              </w:rPr>
              <w:t xml:space="preserve">Current Clause Content  </w:t>
            </w:r>
          </w:p>
        </w:tc>
        <w:tc>
          <w:tcPr>
            <w:tcW w:w="4911" w:type="dxa"/>
            <w:shd w:val="clear" w:color="auto" w:fill="D9D9D9" w:themeFill="background1" w:themeFillShade="D9"/>
          </w:tcPr>
          <w:p w14:paraId="1A78284A" w14:textId="2200FF05" w:rsidR="00934794" w:rsidRDefault="00934794" w:rsidP="00660F3F">
            <w:pPr>
              <w:rPr>
                <w:b/>
                <w:bCs/>
                <w:color w:val="215E99" w:themeColor="text2" w:themeTint="BF"/>
              </w:rPr>
            </w:pPr>
            <w:r>
              <w:rPr>
                <w:b/>
                <w:bCs/>
                <w:color w:val="215E99" w:themeColor="text2" w:themeTint="BF"/>
              </w:rPr>
              <w:t xml:space="preserve">Explanation for change </w:t>
            </w:r>
          </w:p>
        </w:tc>
        <w:tc>
          <w:tcPr>
            <w:tcW w:w="5202" w:type="dxa"/>
            <w:shd w:val="clear" w:color="auto" w:fill="D9D9D9" w:themeFill="background1" w:themeFillShade="D9"/>
          </w:tcPr>
          <w:p w14:paraId="6D4C157C" w14:textId="79A06CBB" w:rsidR="00934794" w:rsidRDefault="00934794" w:rsidP="00660F3F">
            <w:pPr>
              <w:rPr>
                <w:b/>
                <w:bCs/>
                <w:color w:val="215E99" w:themeColor="text2" w:themeTint="BF"/>
              </w:rPr>
            </w:pPr>
            <w:r>
              <w:rPr>
                <w:b/>
                <w:bCs/>
                <w:color w:val="215E99" w:themeColor="text2" w:themeTint="BF"/>
              </w:rPr>
              <w:t>Recommendation</w:t>
            </w:r>
          </w:p>
        </w:tc>
      </w:tr>
      <w:tr w:rsidR="00934794" w14:paraId="10D54D0F" w14:textId="77777777" w:rsidTr="000578F7">
        <w:tc>
          <w:tcPr>
            <w:tcW w:w="938" w:type="dxa"/>
          </w:tcPr>
          <w:p w14:paraId="4D8EDF8D" w14:textId="34333FF5" w:rsidR="00934794" w:rsidRPr="00AE4B45" w:rsidRDefault="00934794" w:rsidP="00660F3F">
            <w:r w:rsidRPr="00AE4B45">
              <w:t xml:space="preserve">8.30 </w:t>
            </w:r>
          </w:p>
        </w:tc>
        <w:tc>
          <w:tcPr>
            <w:tcW w:w="2897" w:type="dxa"/>
          </w:tcPr>
          <w:p w14:paraId="7D22F8E3" w14:textId="2D296250" w:rsidR="00934794" w:rsidRPr="00AE4B45" w:rsidRDefault="00934794" w:rsidP="00660F3F">
            <w:r w:rsidRPr="00AE4B45">
              <w:t>While the role of National President and Board Chair are distinct, they may be filled by the same Individual Person.</w:t>
            </w:r>
          </w:p>
        </w:tc>
        <w:tc>
          <w:tcPr>
            <w:tcW w:w="4911" w:type="dxa"/>
          </w:tcPr>
          <w:p w14:paraId="51525CD1" w14:textId="77777777" w:rsidR="00934794" w:rsidRDefault="00934794" w:rsidP="00660F3F">
            <w:pPr>
              <w:rPr>
                <w:b/>
                <w:bCs/>
                <w:color w:val="215E99" w:themeColor="text2" w:themeTint="BF"/>
              </w:rPr>
            </w:pPr>
          </w:p>
        </w:tc>
        <w:tc>
          <w:tcPr>
            <w:tcW w:w="5202" w:type="dxa"/>
          </w:tcPr>
          <w:p w14:paraId="41B32668" w14:textId="0EAE5728" w:rsidR="00934794" w:rsidRDefault="00934794" w:rsidP="00660F3F">
            <w:pPr>
              <w:rPr>
                <w:b/>
                <w:bCs/>
                <w:color w:val="215E99" w:themeColor="text2" w:themeTint="BF"/>
              </w:rPr>
            </w:pPr>
          </w:p>
        </w:tc>
      </w:tr>
      <w:tr w:rsidR="00934794" w14:paraId="6B03E484" w14:textId="77777777" w:rsidTr="000578F7">
        <w:tc>
          <w:tcPr>
            <w:tcW w:w="938" w:type="dxa"/>
          </w:tcPr>
          <w:p w14:paraId="61F9F3CA" w14:textId="5641A4DA" w:rsidR="00934794" w:rsidRPr="00AE4B45" w:rsidRDefault="00934794" w:rsidP="00AE4B45">
            <w:pPr>
              <w:rPr>
                <w:color w:val="215E99" w:themeColor="text2" w:themeTint="BF"/>
              </w:rPr>
            </w:pPr>
            <w:r>
              <w:t>1</w:t>
            </w:r>
            <w:r w:rsidRPr="00AE4B45">
              <w:t>8.12</w:t>
            </w:r>
          </w:p>
        </w:tc>
        <w:tc>
          <w:tcPr>
            <w:tcW w:w="2897" w:type="dxa"/>
          </w:tcPr>
          <w:p w14:paraId="4D0A8731" w14:textId="7E6F7547" w:rsidR="00934794" w:rsidRPr="00AE4B45" w:rsidRDefault="00934794" w:rsidP="00AE4B45">
            <w:r w:rsidRPr="00AE4B45">
              <w:t>The Board must call an SGM if it receives a written request from the Forum, or a written request signed by at least 50 RSA Member Associations</w:t>
            </w:r>
            <w:r>
              <w:t xml:space="preserve"> </w:t>
            </w:r>
            <w:r w:rsidRPr="00AE4B45">
              <w:t>(“SGM Request”). The SGM Request must specify the business that the SGM is proposed to deal with, including any motion to be put to the SGM (“SGM Business”). The SGM Request must be in the form provided in the Bylaws.</w:t>
            </w:r>
          </w:p>
        </w:tc>
        <w:tc>
          <w:tcPr>
            <w:tcW w:w="4911" w:type="dxa"/>
          </w:tcPr>
          <w:p w14:paraId="54D4C460" w14:textId="77777777" w:rsidR="00934794" w:rsidRDefault="00934794" w:rsidP="00AE4B45">
            <w:pPr>
              <w:rPr>
                <w:b/>
                <w:bCs/>
                <w:color w:val="215E99" w:themeColor="text2" w:themeTint="BF"/>
              </w:rPr>
            </w:pPr>
          </w:p>
        </w:tc>
        <w:tc>
          <w:tcPr>
            <w:tcW w:w="5202" w:type="dxa"/>
          </w:tcPr>
          <w:p w14:paraId="27F1317A" w14:textId="5FBF9C1C" w:rsidR="00934794" w:rsidRDefault="00934794" w:rsidP="00AE4B45">
            <w:pPr>
              <w:rPr>
                <w:b/>
                <w:bCs/>
                <w:color w:val="215E99" w:themeColor="text2" w:themeTint="BF"/>
              </w:rPr>
            </w:pPr>
          </w:p>
        </w:tc>
      </w:tr>
    </w:tbl>
    <w:p w14:paraId="6626222E" w14:textId="4D2AE64A" w:rsidR="00660F3F" w:rsidRDefault="00660F3F" w:rsidP="00660F3F">
      <w:pPr>
        <w:rPr>
          <w:b/>
          <w:bCs/>
          <w:color w:val="215E99" w:themeColor="text2" w:themeTint="BF"/>
        </w:rPr>
      </w:pPr>
    </w:p>
    <w:p w14:paraId="01D1931B" w14:textId="64C39801" w:rsidR="000578F7" w:rsidRDefault="000578F7" w:rsidP="00660F3F">
      <w:pPr>
        <w:rPr>
          <w:b/>
          <w:bCs/>
          <w:color w:val="215E99" w:themeColor="text2" w:themeTint="BF"/>
        </w:rPr>
      </w:pPr>
    </w:p>
    <w:tbl>
      <w:tblPr>
        <w:tblStyle w:val="TableGrid"/>
        <w:tblW w:w="0" w:type="auto"/>
        <w:tblLook w:val="0600" w:firstRow="0" w:lastRow="0" w:firstColumn="0" w:lastColumn="0" w:noHBand="1" w:noVBand="1"/>
      </w:tblPr>
      <w:tblGrid>
        <w:gridCol w:w="938"/>
        <w:gridCol w:w="2897"/>
        <w:gridCol w:w="4911"/>
        <w:gridCol w:w="5202"/>
      </w:tblGrid>
      <w:tr w:rsidR="000578F7" w14:paraId="6117A877" w14:textId="77777777" w:rsidTr="00180D89">
        <w:tc>
          <w:tcPr>
            <w:tcW w:w="13948" w:type="dxa"/>
            <w:gridSpan w:val="4"/>
            <w:shd w:val="clear" w:color="auto" w:fill="D9D9D9" w:themeFill="background1" w:themeFillShade="D9"/>
          </w:tcPr>
          <w:p w14:paraId="59F6834B" w14:textId="77777777" w:rsidR="000578F7" w:rsidRDefault="000578F7" w:rsidP="00180D89">
            <w:pPr>
              <w:rPr>
                <w:b/>
                <w:bCs/>
                <w:color w:val="215E99" w:themeColor="text2" w:themeTint="BF"/>
              </w:rPr>
            </w:pPr>
            <w:r>
              <w:rPr>
                <w:b/>
                <w:bCs/>
                <w:color w:val="215E99" w:themeColor="text2" w:themeTint="BF"/>
              </w:rPr>
              <w:t>Other Feedback</w:t>
            </w:r>
          </w:p>
        </w:tc>
      </w:tr>
      <w:tr w:rsidR="000578F7" w14:paraId="571EAD63" w14:textId="77777777" w:rsidTr="00180D89">
        <w:tc>
          <w:tcPr>
            <w:tcW w:w="923" w:type="dxa"/>
            <w:shd w:val="clear" w:color="auto" w:fill="D9D9D9" w:themeFill="background1" w:themeFillShade="D9"/>
          </w:tcPr>
          <w:p w14:paraId="63A6BD5D" w14:textId="77777777" w:rsidR="000578F7" w:rsidRDefault="000578F7" w:rsidP="00180D89">
            <w:r>
              <w:rPr>
                <w:b/>
                <w:bCs/>
                <w:color w:val="215E99" w:themeColor="text2" w:themeTint="BF"/>
              </w:rPr>
              <w:t>Clause</w:t>
            </w:r>
          </w:p>
        </w:tc>
        <w:tc>
          <w:tcPr>
            <w:tcW w:w="2900" w:type="dxa"/>
            <w:shd w:val="clear" w:color="auto" w:fill="D9D9D9" w:themeFill="background1" w:themeFillShade="D9"/>
          </w:tcPr>
          <w:p w14:paraId="0EBB745A" w14:textId="77777777" w:rsidR="000578F7" w:rsidRPr="00AE4B45" w:rsidRDefault="000578F7" w:rsidP="00180D89">
            <w:r>
              <w:rPr>
                <w:b/>
                <w:bCs/>
                <w:color w:val="215E99" w:themeColor="text2" w:themeTint="BF"/>
              </w:rPr>
              <w:t xml:space="preserve">Current Clause Content  </w:t>
            </w:r>
          </w:p>
        </w:tc>
        <w:tc>
          <w:tcPr>
            <w:tcW w:w="4917" w:type="dxa"/>
            <w:shd w:val="clear" w:color="auto" w:fill="D9D9D9" w:themeFill="background1" w:themeFillShade="D9"/>
          </w:tcPr>
          <w:p w14:paraId="486B52D2" w14:textId="77777777" w:rsidR="000578F7" w:rsidRDefault="000578F7" w:rsidP="00180D89">
            <w:pPr>
              <w:rPr>
                <w:b/>
                <w:bCs/>
                <w:color w:val="215E99" w:themeColor="text2" w:themeTint="BF"/>
              </w:rPr>
            </w:pPr>
            <w:r>
              <w:rPr>
                <w:b/>
                <w:bCs/>
                <w:color w:val="215E99" w:themeColor="text2" w:themeTint="BF"/>
              </w:rPr>
              <w:t xml:space="preserve">Explanation for change </w:t>
            </w:r>
          </w:p>
        </w:tc>
        <w:tc>
          <w:tcPr>
            <w:tcW w:w="5208" w:type="dxa"/>
            <w:shd w:val="clear" w:color="auto" w:fill="D9D9D9" w:themeFill="background1" w:themeFillShade="D9"/>
          </w:tcPr>
          <w:p w14:paraId="58552FFC" w14:textId="77777777" w:rsidR="000578F7" w:rsidRDefault="000578F7" w:rsidP="00180D89">
            <w:pPr>
              <w:rPr>
                <w:b/>
                <w:bCs/>
                <w:color w:val="215E99" w:themeColor="text2" w:themeTint="BF"/>
              </w:rPr>
            </w:pPr>
            <w:r>
              <w:rPr>
                <w:b/>
                <w:bCs/>
                <w:color w:val="215E99" w:themeColor="text2" w:themeTint="BF"/>
              </w:rPr>
              <w:t>Recommendation</w:t>
            </w:r>
          </w:p>
        </w:tc>
      </w:tr>
      <w:tr w:rsidR="000578F7" w14:paraId="449D8066" w14:textId="77777777" w:rsidTr="00180D89">
        <w:tc>
          <w:tcPr>
            <w:tcW w:w="923" w:type="dxa"/>
          </w:tcPr>
          <w:p w14:paraId="4EEE9CCF" w14:textId="77777777" w:rsidR="000578F7" w:rsidRDefault="000578F7" w:rsidP="00180D89"/>
        </w:tc>
        <w:tc>
          <w:tcPr>
            <w:tcW w:w="2900" w:type="dxa"/>
          </w:tcPr>
          <w:p w14:paraId="330295FB" w14:textId="77777777" w:rsidR="000578F7" w:rsidRPr="00AE4B45" w:rsidRDefault="000578F7" w:rsidP="00180D89"/>
        </w:tc>
        <w:tc>
          <w:tcPr>
            <w:tcW w:w="4917" w:type="dxa"/>
          </w:tcPr>
          <w:p w14:paraId="05407D6D" w14:textId="77777777" w:rsidR="000578F7" w:rsidRDefault="000578F7" w:rsidP="00180D89">
            <w:pPr>
              <w:rPr>
                <w:b/>
                <w:bCs/>
                <w:color w:val="215E99" w:themeColor="text2" w:themeTint="BF"/>
              </w:rPr>
            </w:pPr>
          </w:p>
        </w:tc>
        <w:tc>
          <w:tcPr>
            <w:tcW w:w="5208" w:type="dxa"/>
          </w:tcPr>
          <w:p w14:paraId="16187DC4" w14:textId="77777777" w:rsidR="000578F7" w:rsidRDefault="000578F7" w:rsidP="00180D89">
            <w:pPr>
              <w:rPr>
                <w:b/>
                <w:bCs/>
                <w:color w:val="215E99" w:themeColor="text2" w:themeTint="BF"/>
              </w:rPr>
            </w:pPr>
          </w:p>
        </w:tc>
      </w:tr>
      <w:tr w:rsidR="000578F7" w14:paraId="1969B433" w14:textId="77777777" w:rsidTr="00180D89">
        <w:tc>
          <w:tcPr>
            <w:tcW w:w="923" w:type="dxa"/>
          </w:tcPr>
          <w:p w14:paraId="6953ABBC" w14:textId="77777777" w:rsidR="000578F7" w:rsidRDefault="000578F7" w:rsidP="00180D89"/>
        </w:tc>
        <w:tc>
          <w:tcPr>
            <w:tcW w:w="2900" w:type="dxa"/>
          </w:tcPr>
          <w:p w14:paraId="49F02D9A" w14:textId="77777777" w:rsidR="000578F7" w:rsidRPr="00AE4B45" w:rsidRDefault="000578F7" w:rsidP="00180D89"/>
        </w:tc>
        <w:tc>
          <w:tcPr>
            <w:tcW w:w="4917" w:type="dxa"/>
          </w:tcPr>
          <w:p w14:paraId="1E1252C6" w14:textId="77777777" w:rsidR="000578F7" w:rsidRDefault="000578F7" w:rsidP="00180D89">
            <w:pPr>
              <w:rPr>
                <w:b/>
                <w:bCs/>
                <w:color w:val="215E99" w:themeColor="text2" w:themeTint="BF"/>
              </w:rPr>
            </w:pPr>
          </w:p>
        </w:tc>
        <w:tc>
          <w:tcPr>
            <w:tcW w:w="5208" w:type="dxa"/>
          </w:tcPr>
          <w:p w14:paraId="3FFE4A00" w14:textId="77777777" w:rsidR="000578F7" w:rsidRDefault="000578F7" w:rsidP="00180D89">
            <w:pPr>
              <w:rPr>
                <w:b/>
                <w:bCs/>
                <w:color w:val="215E99" w:themeColor="text2" w:themeTint="BF"/>
              </w:rPr>
            </w:pPr>
          </w:p>
        </w:tc>
      </w:tr>
      <w:tr w:rsidR="000578F7" w14:paraId="74941696" w14:textId="77777777" w:rsidTr="00180D89">
        <w:tc>
          <w:tcPr>
            <w:tcW w:w="923" w:type="dxa"/>
          </w:tcPr>
          <w:p w14:paraId="0732C5F9" w14:textId="77777777" w:rsidR="000578F7" w:rsidRDefault="000578F7" w:rsidP="00180D89"/>
        </w:tc>
        <w:tc>
          <w:tcPr>
            <w:tcW w:w="2900" w:type="dxa"/>
          </w:tcPr>
          <w:p w14:paraId="41E192D6" w14:textId="77777777" w:rsidR="000578F7" w:rsidRPr="00AE4B45" w:rsidRDefault="000578F7" w:rsidP="00180D89"/>
        </w:tc>
        <w:tc>
          <w:tcPr>
            <w:tcW w:w="4917" w:type="dxa"/>
          </w:tcPr>
          <w:p w14:paraId="05CAEA1F" w14:textId="77777777" w:rsidR="000578F7" w:rsidRDefault="000578F7" w:rsidP="00180D89">
            <w:pPr>
              <w:rPr>
                <w:b/>
                <w:bCs/>
                <w:color w:val="215E99" w:themeColor="text2" w:themeTint="BF"/>
              </w:rPr>
            </w:pPr>
          </w:p>
        </w:tc>
        <w:tc>
          <w:tcPr>
            <w:tcW w:w="5208" w:type="dxa"/>
          </w:tcPr>
          <w:p w14:paraId="54845A96" w14:textId="77777777" w:rsidR="000578F7" w:rsidRDefault="000578F7" w:rsidP="00180D89">
            <w:pPr>
              <w:rPr>
                <w:b/>
                <w:bCs/>
                <w:color w:val="215E99" w:themeColor="text2" w:themeTint="BF"/>
              </w:rPr>
            </w:pPr>
          </w:p>
        </w:tc>
      </w:tr>
      <w:tr w:rsidR="000578F7" w14:paraId="3213C57E" w14:textId="77777777" w:rsidTr="00180D89">
        <w:tc>
          <w:tcPr>
            <w:tcW w:w="923" w:type="dxa"/>
          </w:tcPr>
          <w:p w14:paraId="7033807C" w14:textId="77777777" w:rsidR="000578F7" w:rsidRDefault="000578F7" w:rsidP="00180D89"/>
        </w:tc>
        <w:tc>
          <w:tcPr>
            <w:tcW w:w="2900" w:type="dxa"/>
          </w:tcPr>
          <w:p w14:paraId="02D508F7" w14:textId="77777777" w:rsidR="000578F7" w:rsidRPr="00AE4B45" w:rsidRDefault="000578F7" w:rsidP="00180D89"/>
        </w:tc>
        <w:tc>
          <w:tcPr>
            <w:tcW w:w="4917" w:type="dxa"/>
          </w:tcPr>
          <w:p w14:paraId="41C59F35" w14:textId="77777777" w:rsidR="000578F7" w:rsidRDefault="000578F7" w:rsidP="00180D89">
            <w:pPr>
              <w:rPr>
                <w:b/>
                <w:bCs/>
                <w:color w:val="215E99" w:themeColor="text2" w:themeTint="BF"/>
              </w:rPr>
            </w:pPr>
          </w:p>
        </w:tc>
        <w:tc>
          <w:tcPr>
            <w:tcW w:w="5208" w:type="dxa"/>
          </w:tcPr>
          <w:p w14:paraId="557985ED" w14:textId="77777777" w:rsidR="000578F7" w:rsidRDefault="000578F7" w:rsidP="00180D89">
            <w:pPr>
              <w:rPr>
                <w:b/>
                <w:bCs/>
                <w:color w:val="215E99" w:themeColor="text2" w:themeTint="BF"/>
              </w:rPr>
            </w:pPr>
          </w:p>
        </w:tc>
      </w:tr>
      <w:tr w:rsidR="000578F7" w14:paraId="2569D409" w14:textId="77777777" w:rsidTr="00180D89">
        <w:tc>
          <w:tcPr>
            <w:tcW w:w="923" w:type="dxa"/>
          </w:tcPr>
          <w:p w14:paraId="3B8C37EF" w14:textId="77777777" w:rsidR="000578F7" w:rsidRDefault="000578F7" w:rsidP="00180D89"/>
        </w:tc>
        <w:tc>
          <w:tcPr>
            <w:tcW w:w="2900" w:type="dxa"/>
          </w:tcPr>
          <w:p w14:paraId="0D4A9868" w14:textId="77777777" w:rsidR="000578F7" w:rsidRPr="00AE4B45" w:rsidRDefault="000578F7" w:rsidP="00180D89"/>
        </w:tc>
        <w:tc>
          <w:tcPr>
            <w:tcW w:w="4917" w:type="dxa"/>
          </w:tcPr>
          <w:p w14:paraId="01C57353" w14:textId="77777777" w:rsidR="000578F7" w:rsidRDefault="000578F7" w:rsidP="00180D89">
            <w:pPr>
              <w:rPr>
                <w:b/>
                <w:bCs/>
                <w:color w:val="215E99" w:themeColor="text2" w:themeTint="BF"/>
              </w:rPr>
            </w:pPr>
          </w:p>
        </w:tc>
        <w:tc>
          <w:tcPr>
            <w:tcW w:w="5208" w:type="dxa"/>
          </w:tcPr>
          <w:p w14:paraId="0EE5EAB5" w14:textId="77777777" w:rsidR="000578F7" w:rsidRDefault="000578F7" w:rsidP="00180D89">
            <w:pPr>
              <w:rPr>
                <w:b/>
                <w:bCs/>
                <w:color w:val="215E99" w:themeColor="text2" w:themeTint="BF"/>
              </w:rPr>
            </w:pPr>
          </w:p>
        </w:tc>
      </w:tr>
    </w:tbl>
    <w:p w14:paraId="3EAB59EC" w14:textId="77777777" w:rsidR="000578F7" w:rsidRPr="00660F3F" w:rsidRDefault="000578F7" w:rsidP="00660F3F">
      <w:pPr>
        <w:rPr>
          <w:b/>
          <w:bCs/>
          <w:color w:val="215E99" w:themeColor="text2" w:themeTint="BF"/>
        </w:rPr>
      </w:pPr>
      <w:bookmarkStart w:id="0" w:name="_GoBack"/>
      <w:bookmarkEnd w:id="0"/>
    </w:p>
    <w:sectPr w:rsidR="000578F7" w:rsidRPr="00660F3F" w:rsidSect="004948B3">
      <w:footerReference w:type="default" r:id="rId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D8CE9" w14:textId="77777777" w:rsidR="00D24431" w:rsidRDefault="00D24431" w:rsidP="00660F3F">
      <w:pPr>
        <w:spacing w:after="0" w:line="240" w:lineRule="auto"/>
      </w:pPr>
      <w:r>
        <w:separator/>
      </w:r>
    </w:p>
  </w:endnote>
  <w:endnote w:type="continuationSeparator" w:id="0">
    <w:p w14:paraId="29364ACA" w14:textId="77777777" w:rsidR="00D24431" w:rsidRDefault="00D24431" w:rsidP="0066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56069"/>
      <w:docPartObj>
        <w:docPartGallery w:val="Page Numbers (Bottom of Page)"/>
        <w:docPartUnique/>
      </w:docPartObj>
    </w:sdtPr>
    <w:sdtEndPr/>
    <w:sdtContent>
      <w:sdt>
        <w:sdtPr>
          <w:id w:val="-1705238520"/>
          <w:docPartObj>
            <w:docPartGallery w:val="Page Numbers (Top of Page)"/>
            <w:docPartUnique/>
          </w:docPartObj>
        </w:sdtPr>
        <w:sdtEndPr/>
        <w:sdtContent>
          <w:p w14:paraId="0E928A09" w14:textId="4EB1C0C6" w:rsidR="00660F3F" w:rsidRDefault="00660F3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578F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78F7">
              <w:rPr>
                <w:b/>
                <w:bCs/>
                <w:noProof/>
              </w:rPr>
              <w:t>4</w:t>
            </w:r>
            <w:r>
              <w:rPr>
                <w:b/>
                <w:bCs/>
                <w:sz w:val="24"/>
                <w:szCs w:val="24"/>
              </w:rPr>
              <w:fldChar w:fldCharType="end"/>
            </w:r>
          </w:p>
        </w:sdtContent>
      </w:sdt>
    </w:sdtContent>
  </w:sdt>
  <w:p w14:paraId="43F7A64A" w14:textId="77777777" w:rsidR="00660F3F" w:rsidRDefault="00660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DAF6F" w14:textId="77777777" w:rsidR="00D24431" w:rsidRDefault="00D24431" w:rsidP="00660F3F">
      <w:pPr>
        <w:spacing w:after="0" w:line="240" w:lineRule="auto"/>
      </w:pPr>
      <w:r>
        <w:separator/>
      </w:r>
    </w:p>
  </w:footnote>
  <w:footnote w:type="continuationSeparator" w:id="0">
    <w:p w14:paraId="40434239" w14:textId="77777777" w:rsidR="00D24431" w:rsidRDefault="00D24431" w:rsidP="00660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4F8"/>
    <w:multiLevelType w:val="hybridMultilevel"/>
    <w:tmpl w:val="64C8C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121B84"/>
    <w:multiLevelType w:val="hybridMultilevel"/>
    <w:tmpl w:val="AB3CC77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030E42"/>
    <w:multiLevelType w:val="hybridMultilevel"/>
    <w:tmpl w:val="3BB895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F550833"/>
    <w:multiLevelType w:val="hybridMultilevel"/>
    <w:tmpl w:val="5CEC4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0835C4C"/>
    <w:multiLevelType w:val="hybridMultilevel"/>
    <w:tmpl w:val="507AD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6DE3A33"/>
    <w:multiLevelType w:val="hybridMultilevel"/>
    <w:tmpl w:val="DB70D95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5F440AF8"/>
    <w:multiLevelType w:val="hybridMultilevel"/>
    <w:tmpl w:val="C182228E"/>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2D13786"/>
    <w:multiLevelType w:val="hybridMultilevel"/>
    <w:tmpl w:val="8C7040E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3F"/>
    <w:rsid w:val="000308BF"/>
    <w:rsid w:val="000578F7"/>
    <w:rsid w:val="000857CE"/>
    <w:rsid w:val="00191F64"/>
    <w:rsid w:val="00197794"/>
    <w:rsid w:val="001C4F9A"/>
    <w:rsid w:val="001E4E7E"/>
    <w:rsid w:val="00223830"/>
    <w:rsid w:val="00296BEC"/>
    <w:rsid w:val="002D3ACA"/>
    <w:rsid w:val="002F222F"/>
    <w:rsid w:val="0035104D"/>
    <w:rsid w:val="003C5C08"/>
    <w:rsid w:val="003D69E5"/>
    <w:rsid w:val="004948B3"/>
    <w:rsid w:val="005B1589"/>
    <w:rsid w:val="00627E90"/>
    <w:rsid w:val="00660F3F"/>
    <w:rsid w:val="00771FC1"/>
    <w:rsid w:val="008E136F"/>
    <w:rsid w:val="0090422E"/>
    <w:rsid w:val="00934794"/>
    <w:rsid w:val="009740BA"/>
    <w:rsid w:val="00A20EA2"/>
    <w:rsid w:val="00A509BD"/>
    <w:rsid w:val="00A623B9"/>
    <w:rsid w:val="00A972DD"/>
    <w:rsid w:val="00AA6655"/>
    <w:rsid w:val="00AE4B45"/>
    <w:rsid w:val="00AF76D3"/>
    <w:rsid w:val="00B030E0"/>
    <w:rsid w:val="00B46DF3"/>
    <w:rsid w:val="00B85B68"/>
    <w:rsid w:val="00C915C2"/>
    <w:rsid w:val="00CC31A7"/>
    <w:rsid w:val="00D24431"/>
    <w:rsid w:val="00D71270"/>
    <w:rsid w:val="00D958A2"/>
    <w:rsid w:val="00DA238A"/>
    <w:rsid w:val="00DF71DD"/>
    <w:rsid w:val="00F038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64D3"/>
  <w15:chartTrackingRefBased/>
  <w15:docId w15:val="{DFE28037-337C-4025-BC3F-3B324D51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F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F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F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F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F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F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F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F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F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F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F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F3F"/>
    <w:rPr>
      <w:rFonts w:eastAsiaTheme="majorEastAsia" w:cstheme="majorBidi"/>
      <w:color w:val="272727" w:themeColor="text1" w:themeTint="D8"/>
    </w:rPr>
  </w:style>
  <w:style w:type="paragraph" w:styleId="Title">
    <w:name w:val="Title"/>
    <w:basedOn w:val="Normal"/>
    <w:next w:val="Normal"/>
    <w:link w:val="TitleChar"/>
    <w:uiPriority w:val="10"/>
    <w:qFormat/>
    <w:rsid w:val="00660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F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F3F"/>
    <w:pPr>
      <w:spacing w:before="160"/>
      <w:jc w:val="center"/>
    </w:pPr>
    <w:rPr>
      <w:i/>
      <w:iCs/>
      <w:color w:val="404040" w:themeColor="text1" w:themeTint="BF"/>
    </w:rPr>
  </w:style>
  <w:style w:type="character" w:customStyle="1" w:styleId="QuoteChar">
    <w:name w:val="Quote Char"/>
    <w:basedOn w:val="DefaultParagraphFont"/>
    <w:link w:val="Quote"/>
    <w:uiPriority w:val="29"/>
    <w:rsid w:val="00660F3F"/>
    <w:rPr>
      <w:i/>
      <w:iCs/>
      <w:color w:val="404040" w:themeColor="text1" w:themeTint="BF"/>
    </w:rPr>
  </w:style>
  <w:style w:type="paragraph" w:styleId="ListParagraph">
    <w:name w:val="List Paragraph"/>
    <w:basedOn w:val="Normal"/>
    <w:uiPriority w:val="34"/>
    <w:qFormat/>
    <w:rsid w:val="00660F3F"/>
    <w:pPr>
      <w:ind w:left="720"/>
      <w:contextualSpacing/>
    </w:pPr>
  </w:style>
  <w:style w:type="character" w:styleId="IntenseEmphasis">
    <w:name w:val="Intense Emphasis"/>
    <w:basedOn w:val="DefaultParagraphFont"/>
    <w:uiPriority w:val="21"/>
    <w:qFormat/>
    <w:rsid w:val="00660F3F"/>
    <w:rPr>
      <w:i/>
      <w:iCs/>
      <w:color w:val="0F4761" w:themeColor="accent1" w:themeShade="BF"/>
    </w:rPr>
  </w:style>
  <w:style w:type="paragraph" w:styleId="IntenseQuote">
    <w:name w:val="Intense Quote"/>
    <w:basedOn w:val="Normal"/>
    <w:next w:val="Normal"/>
    <w:link w:val="IntenseQuoteChar"/>
    <w:uiPriority w:val="30"/>
    <w:qFormat/>
    <w:rsid w:val="00660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F3F"/>
    <w:rPr>
      <w:i/>
      <w:iCs/>
      <w:color w:val="0F4761" w:themeColor="accent1" w:themeShade="BF"/>
    </w:rPr>
  </w:style>
  <w:style w:type="character" w:styleId="IntenseReference">
    <w:name w:val="Intense Reference"/>
    <w:basedOn w:val="DefaultParagraphFont"/>
    <w:uiPriority w:val="32"/>
    <w:qFormat/>
    <w:rsid w:val="00660F3F"/>
    <w:rPr>
      <w:b/>
      <w:bCs/>
      <w:smallCaps/>
      <w:color w:val="0F4761" w:themeColor="accent1" w:themeShade="BF"/>
      <w:spacing w:val="5"/>
    </w:rPr>
  </w:style>
  <w:style w:type="paragraph" w:styleId="Header">
    <w:name w:val="header"/>
    <w:basedOn w:val="Normal"/>
    <w:link w:val="HeaderChar"/>
    <w:uiPriority w:val="99"/>
    <w:unhideWhenUsed/>
    <w:rsid w:val="00660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F3F"/>
  </w:style>
  <w:style w:type="paragraph" w:styleId="Footer">
    <w:name w:val="footer"/>
    <w:basedOn w:val="Normal"/>
    <w:link w:val="FooterChar"/>
    <w:uiPriority w:val="99"/>
    <w:unhideWhenUsed/>
    <w:rsid w:val="00660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F3F"/>
  </w:style>
  <w:style w:type="table" w:styleId="TableGrid">
    <w:name w:val="Table Grid"/>
    <w:basedOn w:val="TableNormal"/>
    <w:uiPriority w:val="39"/>
    <w:rsid w:val="00660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830"/>
    <w:rPr>
      <w:color w:val="467886" w:themeColor="hyperlink"/>
      <w:u w:val="single"/>
    </w:rPr>
  </w:style>
  <w:style w:type="character" w:customStyle="1" w:styleId="UnresolvedMention1">
    <w:name w:val="Unresolved Mention1"/>
    <w:basedOn w:val="DefaultParagraphFont"/>
    <w:uiPriority w:val="99"/>
    <w:semiHidden/>
    <w:unhideWhenUsed/>
    <w:rsid w:val="00223830"/>
    <w:rPr>
      <w:color w:val="605E5C"/>
      <w:shd w:val="clear" w:color="auto" w:fill="E1DFDD"/>
    </w:rPr>
  </w:style>
  <w:style w:type="paragraph" w:styleId="Revision">
    <w:name w:val="Revision"/>
    <w:hidden/>
    <w:uiPriority w:val="99"/>
    <w:semiHidden/>
    <w:rsid w:val="00934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view@rsa.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Faul</dc:creator>
  <cp:keywords/>
  <dc:description/>
  <cp:lastModifiedBy>Rachel Riley</cp:lastModifiedBy>
  <cp:revision>2</cp:revision>
  <cp:lastPrinted>2025-05-08T20:37:00Z</cp:lastPrinted>
  <dcterms:created xsi:type="dcterms:W3CDTF">2025-05-09T02:04:00Z</dcterms:created>
  <dcterms:modified xsi:type="dcterms:W3CDTF">2025-05-09T02:04:00Z</dcterms:modified>
</cp:coreProperties>
</file>